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D88E" w14:textId="77777777" w:rsidR="002F4DA8" w:rsidRDefault="002F4DA8" w:rsidP="002F4D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PROCEDURA PRIVIND COOPERAREA  SIFI </w:t>
      </w:r>
      <w:proofErr w:type="spellStart"/>
      <w:r>
        <w:rPr>
          <w:rFonts w:ascii="Times New Roman" w:hAnsi="Times New Roman" w:cs="Times New Roman"/>
          <w:b/>
        </w:rPr>
        <w:t>Cj</w:t>
      </w:r>
      <w:proofErr w:type="spellEnd"/>
      <w:r>
        <w:rPr>
          <w:rFonts w:ascii="Times New Roman" w:hAnsi="Times New Roman" w:cs="Times New Roman"/>
          <w:b/>
        </w:rPr>
        <w:t xml:space="preserve"> Logistic SA </w:t>
      </w:r>
    </w:p>
    <w:p w14:paraId="7680A51C" w14:textId="1B4ED40B" w:rsidR="002F4DA8" w:rsidRPr="00266A7E" w:rsidRDefault="002F4DA8" w:rsidP="002F4D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 CONSULTANTUL AUTORIZAT</w:t>
      </w:r>
      <w:r w:rsidR="006142BA">
        <w:rPr>
          <w:rFonts w:ascii="Times New Roman" w:hAnsi="Times New Roman" w:cs="Times New Roman"/>
          <w:b/>
        </w:rPr>
        <w:t xml:space="preserve">-IFB </w:t>
      </w:r>
      <w:proofErr w:type="spellStart"/>
      <w:r w:rsidR="006142BA">
        <w:rPr>
          <w:rFonts w:ascii="Times New Roman" w:hAnsi="Times New Roman" w:cs="Times New Roman"/>
          <w:b/>
        </w:rPr>
        <w:t>Finwest</w:t>
      </w:r>
      <w:proofErr w:type="spellEnd"/>
      <w:r w:rsidR="006142BA">
        <w:rPr>
          <w:rFonts w:ascii="Times New Roman" w:hAnsi="Times New Roman" w:cs="Times New Roman"/>
          <w:b/>
        </w:rPr>
        <w:t xml:space="preserve"> SA</w:t>
      </w:r>
    </w:p>
    <w:p w14:paraId="404B282B" w14:textId="77777777" w:rsidR="002F4DA8" w:rsidRDefault="002F4DA8" w:rsidP="002F4DA8"/>
    <w:p w14:paraId="1E50E359" w14:textId="77777777" w:rsidR="002F4DA8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B9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BVB – operator de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E0B98">
        <w:rPr>
          <w:rFonts w:ascii="Times New Roman" w:hAnsi="Times New Roman" w:cs="Times New Roman"/>
          <w:sz w:val="24"/>
          <w:szCs w:val="24"/>
        </w:rPr>
        <w:t>ternativ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de Bursa de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cum a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 xml:space="preserve"> ASF </w:t>
      </w:r>
      <w:proofErr w:type="spellStart"/>
      <w:r w:rsidRPr="002E0B9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E0B98">
        <w:rPr>
          <w:rFonts w:ascii="Times New Roman" w:hAnsi="Times New Roman" w:cs="Times New Roman"/>
          <w:sz w:val="24"/>
          <w:szCs w:val="24"/>
        </w:rPr>
        <w:t>. 1902/13.08.2015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contract cu un Consultant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BVB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2E8C20" w14:textId="77777777" w:rsidR="002F4DA8" w:rsidRDefault="002F4DA8" w:rsidP="002F4DA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Acest Cod defineste </w:t>
      </w:r>
      <w:r w:rsidRPr="00690403">
        <w:rPr>
          <w:rFonts w:ascii="Times New Roman" w:hAnsi="Times New Roman" w:cs="Times New Roman"/>
          <w:b/>
        </w:rPr>
        <w:t>Consultantul Autorizat</w:t>
      </w:r>
      <w:r>
        <w:rPr>
          <w:rFonts w:ascii="Times New Roman" w:hAnsi="Times New Roman" w:cs="Times New Roman"/>
        </w:rPr>
        <w:t xml:space="preserve"> ca fiind o </w:t>
      </w:r>
      <w:r w:rsidRPr="00C96B3B">
        <w:rPr>
          <w:rFonts w:ascii="Times New Roman" w:hAnsi="Times New Roman" w:cs="Times New Roman"/>
        </w:rPr>
        <w:t xml:space="preserve">entitate desemnata de BVB pentru a oferi servicii specifice Emitentilor in vederea admiterii la tranzactionare in Sectiunea Instrumente financiare listate pe ATS a instrumentelor financiare emise, precum si pe durata in care instrumentele financiare sunt tranzactionate in cadrul acestei Sectiuni. </w:t>
      </w:r>
    </w:p>
    <w:p w14:paraId="34C26358" w14:textId="77777777" w:rsidR="002F4DA8" w:rsidRPr="00C96B3B" w:rsidRDefault="002F4DA8" w:rsidP="002F4DA8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art.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pct. b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un contract cu un Consultant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Autorizat</w:t>
      </w:r>
      <w:proofErr w:type="spellEnd"/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care</w:t>
      </w:r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sa</w:t>
      </w:r>
      <w:proofErr w:type="spellEnd"/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-l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mentina</w:t>
      </w:r>
      <w:proofErr w:type="spellEnd"/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cel</w:t>
      </w:r>
      <w:proofErr w:type="spellEnd"/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putin</w:t>
      </w:r>
      <w:proofErr w:type="spellEnd"/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 12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luni</w:t>
      </w:r>
      <w:proofErr w:type="spellEnd"/>
      <w:r w:rsidRPr="00C96B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96B3B"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z w:val="23"/>
          <w:szCs w:val="23"/>
        </w:rPr>
        <w:t>pa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admiterea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tranzactionare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69F7E5" w14:textId="77777777" w:rsidR="002F4DA8" w:rsidRPr="002B61EC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r w:rsidRPr="002B61E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Consultantului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SIFI </w:t>
      </w:r>
      <w:proofErr w:type="spellStart"/>
      <w:r>
        <w:rPr>
          <w:rFonts w:ascii="Times New Roman" w:hAnsi="Times New Roman" w:cs="Times New Roman"/>
          <w:sz w:val="24"/>
          <w:szCs w:val="24"/>
        </w:rPr>
        <w:t>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 </w:t>
      </w:r>
      <w:r w:rsidRPr="002B61E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de internet a BVB (</w:t>
      </w:r>
      <w:hyperlink r:id="rId6" w:history="1">
        <w:r w:rsidRPr="002B61EC">
          <w:rPr>
            <w:rStyle w:val="Hyperlink"/>
            <w:rFonts w:ascii="Times New Roman" w:hAnsi="Times New Roman" w:cs="Times New Roman"/>
            <w:sz w:val="24"/>
            <w:szCs w:val="24"/>
          </w:rPr>
          <w:t>www.bvb.ro</w:t>
        </w:r>
      </w:hyperlink>
      <w:r w:rsidRPr="002B61EC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Consultant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Consultantilor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Autorizati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EC">
        <w:rPr>
          <w:rFonts w:ascii="Times New Roman" w:hAnsi="Times New Roman" w:cs="Times New Roman"/>
          <w:sz w:val="24"/>
          <w:szCs w:val="24"/>
        </w:rPr>
        <w:t>autorizati</w:t>
      </w:r>
      <w:proofErr w:type="spellEnd"/>
      <w:r w:rsidRPr="002B61EC">
        <w:rPr>
          <w:rFonts w:ascii="Times New Roman" w:hAnsi="Times New Roman" w:cs="Times New Roman"/>
          <w:sz w:val="24"/>
          <w:szCs w:val="24"/>
        </w:rPr>
        <w:t xml:space="preserve"> de BVB.</w:t>
      </w:r>
    </w:p>
    <w:p w14:paraId="1C57C643" w14:textId="77777777" w:rsidR="002F4DA8" w:rsidRPr="00AF616D" w:rsidRDefault="002F4DA8" w:rsidP="002F4D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616D">
        <w:rPr>
          <w:rFonts w:ascii="Times New Roman" w:hAnsi="Times New Roman" w:cs="Times New Roman"/>
          <w:b/>
          <w:i/>
          <w:sz w:val="24"/>
          <w:szCs w:val="24"/>
        </w:rPr>
        <w:t>Persoana</w:t>
      </w:r>
      <w:proofErr w:type="spellEnd"/>
      <w:r w:rsidRPr="00AF6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b/>
          <w:i/>
          <w:sz w:val="24"/>
          <w:szCs w:val="24"/>
        </w:rPr>
        <w:t>desemnata</w:t>
      </w:r>
      <w:proofErr w:type="spellEnd"/>
    </w:p>
    <w:p w14:paraId="6E5DC969" w14:textId="77777777" w:rsidR="002F4DA8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6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SIFI </w:t>
      </w:r>
      <w:proofErr w:type="spellStart"/>
      <w:r>
        <w:rPr>
          <w:rFonts w:ascii="Times New Roman" w:hAnsi="Times New Roman" w:cs="Times New Roman"/>
          <w:sz w:val="24"/>
          <w:szCs w:val="24"/>
        </w:rPr>
        <w:t>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 </w:t>
      </w:r>
      <w:r w:rsidRPr="00AF616D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general, ca</w:t>
      </w:r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mentine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desemnata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Consultantului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>.</w:t>
      </w:r>
    </w:p>
    <w:p w14:paraId="1F04AF84" w14:textId="77777777" w:rsidR="002F4DA8" w:rsidRPr="00AF616D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SIFI </w:t>
      </w:r>
      <w:proofErr w:type="spellStart"/>
      <w:r>
        <w:rPr>
          <w:rFonts w:ascii="Times New Roman" w:hAnsi="Times New Roman" w:cs="Times New Roman"/>
          <w:sz w:val="24"/>
          <w:szCs w:val="24"/>
        </w:rPr>
        <w:t>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 SA.</w:t>
      </w:r>
    </w:p>
    <w:p w14:paraId="11CE23DD" w14:textId="77777777" w:rsidR="002F4DA8" w:rsidRPr="00AF616D" w:rsidRDefault="002F4DA8" w:rsidP="002F4D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616D">
        <w:rPr>
          <w:rFonts w:ascii="Times New Roman" w:hAnsi="Times New Roman" w:cs="Times New Roman"/>
          <w:b/>
          <w:i/>
          <w:sz w:val="24"/>
          <w:szCs w:val="24"/>
        </w:rPr>
        <w:t>Frecventa</w:t>
      </w:r>
      <w:proofErr w:type="spellEnd"/>
      <w:r w:rsidRPr="00AF6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b/>
          <w:i/>
          <w:sz w:val="24"/>
          <w:szCs w:val="24"/>
        </w:rPr>
        <w:t>intalnirilor</w:t>
      </w:r>
      <w:proofErr w:type="spellEnd"/>
    </w:p>
    <w:p w14:paraId="2C427EA6" w14:textId="77777777" w:rsidR="002F4DA8" w:rsidRPr="00AF616D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6D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16D">
        <w:rPr>
          <w:rFonts w:ascii="Times New Roman" w:hAnsi="Times New Roman" w:cs="Times New Roman"/>
          <w:sz w:val="24"/>
          <w:szCs w:val="24"/>
        </w:rPr>
        <w:t>telefonul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>, e-mail, fax.</w:t>
      </w:r>
    </w:p>
    <w:p w14:paraId="0E0163F9" w14:textId="77777777" w:rsidR="002F4DA8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periodice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650DBD" w14:textId="77777777" w:rsidR="002F4DA8" w:rsidRPr="00AF616D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periodice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CCF409" w14:textId="77777777" w:rsidR="002F4DA8" w:rsidRPr="0082575B" w:rsidRDefault="002F4DA8" w:rsidP="002F4D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575B">
        <w:rPr>
          <w:rFonts w:ascii="Times New Roman" w:hAnsi="Times New Roman" w:cs="Times New Roman"/>
          <w:b/>
          <w:i/>
          <w:sz w:val="24"/>
          <w:szCs w:val="24"/>
        </w:rPr>
        <w:t>Responsabilitati</w:t>
      </w:r>
      <w:proofErr w:type="spellEnd"/>
      <w:r w:rsidRPr="00825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575B">
        <w:rPr>
          <w:rFonts w:ascii="Times New Roman" w:hAnsi="Times New Roman" w:cs="Times New Roman"/>
          <w:b/>
          <w:i/>
          <w:sz w:val="24"/>
          <w:szCs w:val="24"/>
        </w:rPr>
        <w:t>asumate</w:t>
      </w:r>
      <w:proofErr w:type="spellEnd"/>
      <w:r w:rsidRPr="0082575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SIFI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Logistic SA</w:t>
      </w:r>
    </w:p>
    <w:p w14:paraId="4ABAD815" w14:textId="77777777" w:rsidR="002F4DA8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SIFI CJ LOGISTIC 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in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007D29" w14:textId="77777777" w:rsidR="002F4DA8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E7E71" w14:textId="77777777" w:rsidR="002F4DA8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SIFI </w:t>
      </w:r>
      <w:proofErr w:type="spellStart"/>
      <w:r>
        <w:rPr>
          <w:rFonts w:ascii="Times New Roman" w:hAnsi="Times New Roman" w:cs="Times New Roman"/>
          <w:sz w:val="24"/>
          <w:szCs w:val="24"/>
        </w:rPr>
        <w:t>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 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disfunctionalitate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D561F0" w14:textId="77777777" w:rsidR="002F4DA8" w:rsidRDefault="002F4DA8" w:rsidP="002F4D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575B">
        <w:rPr>
          <w:rFonts w:ascii="Times New Roman" w:hAnsi="Times New Roman" w:cs="Times New Roman"/>
          <w:b/>
          <w:i/>
          <w:sz w:val="24"/>
          <w:szCs w:val="24"/>
        </w:rPr>
        <w:t>Responsabilitati</w:t>
      </w:r>
      <w:proofErr w:type="spellEnd"/>
      <w:r w:rsidRPr="00825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575B">
        <w:rPr>
          <w:rFonts w:ascii="Times New Roman" w:hAnsi="Times New Roman" w:cs="Times New Roman"/>
          <w:b/>
          <w:i/>
          <w:sz w:val="24"/>
          <w:szCs w:val="24"/>
        </w:rPr>
        <w:t>asumate</w:t>
      </w:r>
      <w:proofErr w:type="spellEnd"/>
      <w:r w:rsidRPr="0082575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 SIFI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Logistic SA si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anume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IFB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Finwest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</w:t>
      </w:r>
    </w:p>
    <w:p w14:paraId="371AE019" w14:textId="77777777" w:rsidR="002F4DA8" w:rsidRPr="0075193D" w:rsidRDefault="002F4DA8" w:rsidP="002F4D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IFB FINWEST SA-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consultant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SIFI </w:t>
      </w:r>
      <w:proofErr w:type="spellStart"/>
      <w:r>
        <w:rPr>
          <w:rFonts w:ascii="Times New Roman" w:hAnsi="Times New Roman" w:cs="Times New Roman"/>
          <w:sz w:val="24"/>
          <w:szCs w:val="24"/>
        </w:rPr>
        <w:t>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 SA 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in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13E37E" w14:textId="77777777" w:rsidR="002F4DA8" w:rsidRPr="00AF616D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periodice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0B2C65" w14:textId="77777777" w:rsidR="002F4DA8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Consultantul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precum si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periodice</w:t>
      </w:r>
      <w:proofErr w:type="spellEnd"/>
      <w:r w:rsidRPr="00A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B2ED72" w14:textId="77777777" w:rsidR="002F4DA8" w:rsidRPr="00353327" w:rsidRDefault="002F4DA8" w:rsidP="002F4D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0813C" w14:textId="77777777" w:rsidR="00A14989" w:rsidRPr="00FE4735" w:rsidRDefault="00A14989" w:rsidP="00FE4735">
      <w:pPr>
        <w:pStyle w:val="Head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989" w:rsidRPr="00FE4735" w:rsidSect="00DE6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567" w:bottom="567" w:left="567" w:header="408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546C" w14:textId="77777777" w:rsidR="003A4430" w:rsidRDefault="003A4430" w:rsidP="003F24C1">
      <w:pPr>
        <w:spacing w:after="0" w:line="240" w:lineRule="auto"/>
      </w:pPr>
      <w:r>
        <w:separator/>
      </w:r>
    </w:p>
  </w:endnote>
  <w:endnote w:type="continuationSeparator" w:id="0">
    <w:p w14:paraId="773EAB7A" w14:textId="77777777" w:rsidR="003A4430" w:rsidRDefault="003A4430" w:rsidP="003F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13CB" w14:textId="77777777" w:rsidR="00554FA5" w:rsidRDefault="00554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69020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i/>
        <w:noProof/>
        <w:color w:val="404040" w:themeColor="text1" w:themeTint="BF"/>
        <w:sz w:val="12"/>
        <w:szCs w:val="12"/>
      </w:rPr>
    </w:sdtEndPr>
    <w:sdtContent>
      <w:p w14:paraId="64842AB8" w14:textId="77777777" w:rsidR="0022327E" w:rsidRPr="00D15AC5" w:rsidRDefault="0022327E">
        <w:pPr>
          <w:pStyle w:val="Footer"/>
          <w:jc w:val="center"/>
          <w:rPr>
            <w:rFonts w:ascii="Open Sans Light" w:hAnsi="Open Sans Light" w:cs="Open Sans Light"/>
            <w:i/>
            <w:color w:val="7F7F7F" w:themeColor="text1" w:themeTint="80"/>
            <w:sz w:val="16"/>
            <w:szCs w:val="16"/>
          </w:rPr>
        </w:pPr>
      </w:p>
      <w:p w14:paraId="0CF1A99C" w14:textId="67B27417" w:rsidR="00F831C0" w:rsidRPr="00075A87" w:rsidRDefault="00F831C0">
        <w:pPr>
          <w:pStyle w:val="Footer"/>
          <w:jc w:val="center"/>
          <w:rPr>
            <w:rFonts w:ascii="Open Sans Light" w:hAnsi="Open Sans Light" w:cs="Open Sans Light"/>
            <w:i/>
            <w:color w:val="404040" w:themeColor="text1" w:themeTint="BF"/>
            <w:sz w:val="12"/>
            <w:szCs w:val="12"/>
          </w:rPr>
        </w:pPr>
        <w:r w:rsidRPr="00075A87">
          <w:rPr>
            <w:rFonts w:ascii="Open Sans Light" w:hAnsi="Open Sans Light" w:cs="Open Sans Light"/>
            <w:i/>
            <w:color w:val="404040" w:themeColor="text1" w:themeTint="BF"/>
            <w:sz w:val="12"/>
            <w:szCs w:val="12"/>
          </w:rPr>
          <w:fldChar w:fldCharType="begin"/>
        </w:r>
        <w:r w:rsidRPr="00075A87">
          <w:rPr>
            <w:rFonts w:ascii="Open Sans Light" w:hAnsi="Open Sans Light" w:cs="Open Sans Light"/>
            <w:i/>
            <w:color w:val="404040" w:themeColor="text1" w:themeTint="BF"/>
            <w:sz w:val="12"/>
            <w:szCs w:val="12"/>
          </w:rPr>
          <w:instrText xml:space="preserve"> PAGE   \* MERGEFORMAT </w:instrText>
        </w:r>
        <w:r w:rsidRPr="00075A87">
          <w:rPr>
            <w:rFonts w:ascii="Open Sans Light" w:hAnsi="Open Sans Light" w:cs="Open Sans Light"/>
            <w:i/>
            <w:color w:val="404040" w:themeColor="text1" w:themeTint="BF"/>
            <w:sz w:val="12"/>
            <w:szCs w:val="12"/>
          </w:rPr>
          <w:fldChar w:fldCharType="separate"/>
        </w:r>
        <w:r w:rsidR="006142BA">
          <w:rPr>
            <w:rFonts w:ascii="Open Sans Light" w:hAnsi="Open Sans Light" w:cs="Open Sans Light"/>
            <w:i/>
            <w:noProof/>
            <w:color w:val="404040" w:themeColor="text1" w:themeTint="BF"/>
            <w:sz w:val="12"/>
            <w:szCs w:val="12"/>
          </w:rPr>
          <w:t>2</w:t>
        </w:r>
        <w:r w:rsidRPr="00075A87">
          <w:rPr>
            <w:rFonts w:ascii="Open Sans Light" w:hAnsi="Open Sans Light" w:cs="Open Sans Light"/>
            <w:i/>
            <w:noProof/>
            <w:color w:val="404040" w:themeColor="text1" w:themeTint="BF"/>
            <w:sz w:val="12"/>
            <w:szCs w:val="12"/>
          </w:rPr>
          <w:fldChar w:fldCharType="end"/>
        </w:r>
      </w:p>
    </w:sdtContent>
  </w:sdt>
  <w:p w14:paraId="2E046C69" w14:textId="77777777" w:rsidR="00F831C0" w:rsidRDefault="00F83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AE98" w14:textId="46E027D9" w:rsidR="003F24C1" w:rsidRPr="009D681B" w:rsidRDefault="003F24C1" w:rsidP="007965D9">
    <w:pPr>
      <w:pStyle w:val="Footer"/>
      <w:spacing w:after="40"/>
      <w:jc w:val="center"/>
      <w:rPr>
        <w:sz w:val="16"/>
        <w:szCs w:val="16"/>
        <w:lang w:val="ro-RO"/>
      </w:rPr>
    </w:pPr>
  </w:p>
  <w:tbl>
    <w:tblPr>
      <w:tblStyle w:val="TableGrid"/>
      <w:tblW w:w="10575" w:type="dxa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5"/>
    </w:tblGrid>
    <w:tr w:rsidR="007965D9" w14:paraId="6B56B4B0" w14:textId="77777777" w:rsidTr="00EE078C">
      <w:trPr>
        <w:trHeight w:val="137"/>
        <w:jc w:val="center"/>
      </w:trPr>
      <w:tc>
        <w:tcPr>
          <w:tcW w:w="10575" w:type="dxa"/>
        </w:tcPr>
        <w:sdt>
          <w:sdtPr>
            <w:rPr>
              <w:b/>
              <w:caps/>
              <w:color w:val="404040" w:themeColor="text1" w:themeTint="BF"/>
              <w:sz w:val="12"/>
              <w:szCs w:val="12"/>
            </w:rPr>
            <w:id w:val="-1378075134"/>
          </w:sdtPr>
          <w:sdtEndPr>
            <w:rPr>
              <w:b w:val="0"/>
            </w:rPr>
          </w:sdtEndPr>
          <w:sdtContent>
            <w:p w14:paraId="007D0392" w14:textId="040E48BE" w:rsidR="00EE078C" w:rsidRDefault="007017C8" w:rsidP="00EE078C">
              <w:pPr>
                <w:jc w:val="center"/>
                <w:rPr>
                  <w:caps/>
                  <w:color w:val="404040" w:themeColor="text1" w:themeTint="BF"/>
                  <w:sz w:val="12"/>
                  <w:szCs w:val="12"/>
                </w:rPr>
              </w:pPr>
              <w:r w:rsidRPr="004854D8">
                <w:rPr>
                  <w:b/>
                  <w:caps/>
                  <w:color w:val="404040" w:themeColor="text1" w:themeTint="BF"/>
                  <w:sz w:val="12"/>
                  <w:szCs w:val="12"/>
                </w:rPr>
                <w:t>Număr de ordine în Registrul ComerȚului</w:t>
              </w:r>
              <w:r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</w:t>
              </w:r>
              <w:r w:rsidR="0019199C" w:rsidRPr="004854D8">
                <w:rPr>
                  <w:caps/>
                  <w:color w:val="404040" w:themeColor="text1" w:themeTint="BF"/>
                  <w:sz w:val="12"/>
                  <w:szCs w:val="12"/>
                </w:rPr>
                <w:t>J</w:t>
              </w:r>
              <w:r w:rsidR="00CF16C2">
                <w:rPr>
                  <w:caps/>
                  <w:color w:val="404040" w:themeColor="text1" w:themeTint="BF"/>
                  <w:sz w:val="12"/>
                  <w:szCs w:val="12"/>
                </w:rPr>
                <w:t>40</w:t>
              </w:r>
              <w:r w:rsidR="0019199C" w:rsidRPr="004854D8">
                <w:rPr>
                  <w:caps/>
                  <w:color w:val="404040" w:themeColor="text1" w:themeTint="BF"/>
                  <w:sz w:val="12"/>
                  <w:szCs w:val="12"/>
                </w:rPr>
                <w:t>/</w:t>
              </w:r>
              <w:r w:rsidR="00121B1C">
                <w:rPr>
                  <w:caps/>
                  <w:color w:val="404040" w:themeColor="text1" w:themeTint="BF"/>
                  <w:sz w:val="12"/>
                  <w:szCs w:val="12"/>
                </w:rPr>
                <w:t>13896</w:t>
              </w:r>
              <w:r w:rsidR="00D52407">
                <w:rPr>
                  <w:caps/>
                  <w:color w:val="404040" w:themeColor="text1" w:themeTint="BF"/>
                  <w:sz w:val="12"/>
                  <w:szCs w:val="12"/>
                </w:rPr>
                <w:t>/2014</w:t>
              </w:r>
              <w:r w:rsidR="0019199C"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  •   </w:t>
              </w:r>
              <w:r w:rsidRPr="004854D8">
                <w:rPr>
                  <w:b/>
                  <w:caps/>
                  <w:color w:val="404040" w:themeColor="text1" w:themeTint="BF"/>
                  <w:sz w:val="12"/>
                  <w:szCs w:val="12"/>
                </w:rPr>
                <w:t>Cod unic de înregistrare</w:t>
              </w:r>
              <w:r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</w:t>
              </w:r>
              <w:r w:rsidR="0019199C" w:rsidRPr="004854D8">
                <w:rPr>
                  <w:caps/>
                  <w:color w:val="404040" w:themeColor="text1" w:themeTint="BF"/>
                  <w:sz w:val="12"/>
                  <w:szCs w:val="12"/>
                </w:rPr>
                <w:t>RO</w:t>
              </w:r>
              <w:r w:rsidR="00CF16C2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</w:t>
              </w:r>
              <w:r w:rsidR="00121B1C">
                <w:rPr>
                  <w:caps/>
                  <w:color w:val="404040" w:themeColor="text1" w:themeTint="BF"/>
                  <w:sz w:val="12"/>
                  <w:szCs w:val="12"/>
                </w:rPr>
                <w:t>201624</w:t>
              </w:r>
              <w:r w:rsidR="0019199C"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  •   </w:t>
              </w:r>
            </w:p>
            <w:p w14:paraId="19FB0114" w14:textId="77777777" w:rsidR="00A14989" w:rsidRDefault="007017C8" w:rsidP="00A14989">
              <w:pPr>
                <w:jc w:val="center"/>
                <w:rPr>
                  <w:caps/>
                  <w:color w:val="404040" w:themeColor="text1" w:themeTint="BF"/>
                  <w:sz w:val="12"/>
                  <w:szCs w:val="12"/>
                </w:rPr>
              </w:pPr>
              <w:r w:rsidRPr="004854D8">
                <w:rPr>
                  <w:b/>
                  <w:caps/>
                  <w:color w:val="404040" w:themeColor="text1" w:themeTint="BF"/>
                  <w:sz w:val="12"/>
                  <w:szCs w:val="12"/>
                </w:rPr>
                <w:t>Capital social subscris Și vărsat</w:t>
              </w:r>
              <w:r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</w:t>
              </w:r>
              <w:r w:rsidR="00121B1C">
                <w:rPr>
                  <w:caps/>
                  <w:color w:val="404040" w:themeColor="text1" w:themeTint="BF"/>
                  <w:sz w:val="12"/>
                  <w:szCs w:val="12"/>
                </w:rPr>
                <w:t>2.464.332,5</w:t>
              </w:r>
              <w:r w:rsidR="000B7C54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</w:t>
              </w:r>
              <w:r w:rsidR="0019199C"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lei   </w:t>
              </w:r>
            </w:p>
            <w:p w14:paraId="47C2DF3D" w14:textId="07696F89" w:rsidR="00A14989" w:rsidRPr="004854D8" w:rsidRDefault="0019199C" w:rsidP="00A14989">
              <w:pPr>
                <w:jc w:val="center"/>
                <w:rPr>
                  <w:caps/>
                  <w:color w:val="404040" w:themeColor="text1" w:themeTint="BF"/>
                  <w:sz w:val="12"/>
                  <w:szCs w:val="12"/>
                </w:rPr>
              </w:pPr>
              <w:r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•   </w:t>
              </w:r>
              <w:r w:rsidR="007017C8" w:rsidRPr="00711A85">
                <w:rPr>
                  <w:b/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Cont bancar</w:t>
              </w:r>
              <w:r w:rsidR="007017C8" w:rsidRPr="00711A8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</w:t>
              </w:r>
              <w:r w:rsidR="00194533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ro</w:t>
              </w:r>
              <w:r w:rsidR="00121B1C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81</w:t>
              </w:r>
              <w:r w:rsidR="00554FA5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</w:t>
              </w:r>
              <w:r w:rsidR="00121B1C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RZBR</w:t>
              </w:r>
              <w:r w:rsidR="00554FA5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</w:t>
              </w:r>
              <w:r w:rsidR="00121B1C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0000</w:t>
              </w:r>
              <w:r w:rsidR="00554FA5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</w:t>
              </w:r>
              <w:r w:rsidR="00121B1C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0600</w:t>
              </w:r>
              <w:r w:rsidR="00554FA5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</w:t>
              </w:r>
              <w:r w:rsidR="00121B1C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0910</w:t>
              </w:r>
              <w:r w:rsidR="00554FA5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</w:t>
              </w:r>
              <w:r w:rsidR="00121B1C" w:rsidRPr="00554FA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2094</w:t>
              </w:r>
              <w:r w:rsidRPr="00711A8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 •   </w:t>
              </w:r>
              <w:r w:rsidR="00121B1C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RAIFFEISEN BANK</w:t>
              </w:r>
              <w:r w:rsidR="00A14989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  SI</w:t>
              </w:r>
              <w:r w:rsidR="00A14989" w:rsidRPr="004854D8">
                <w:rPr>
                  <w:caps/>
                  <w:color w:val="404040" w:themeColor="text1" w:themeTint="BF"/>
                  <w:sz w:val="12"/>
                  <w:szCs w:val="12"/>
                </w:rPr>
                <w:t xml:space="preserve">  </w:t>
              </w:r>
              <w:r w:rsidR="00A14989" w:rsidRPr="00711A85">
                <w:rPr>
                  <w:b/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Cont bancar</w:t>
              </w:r>
              <w:r w:rsidR="00A14989" w:rsidRPr="00711A8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</w:t>
              </w:r>
              <w:r w:rsidR="00AE3C69" w:rsidRPr="00554FA5">
                <w:rPr>
                  <w:sz w:val="12"/>
                  <w:szCs w:val="12"/>
                </w:rPr>
                <w:t>RO85 BACX 0000 0012 0359 7000</w:t>
              </w:r>
              <w:r w:rsidR="00AE3C69" w:rsidRPr="00EE5D4A">
                <w:rPr>
                  <w:sz w:val="16"/>
                  <w:szCs w:val="16"/>
                </w:rPr>
                <w:t xml:space="preserve"> </w:t>
              </w:r>
              <w:r w:rsidR="00A14989" w:rsidRPr="00711A85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 xml:space="preserve">  •   </w:t>
              </w:r>
              <w:r w:rsidR="00A14989">
                <w:rPr>
                  <w:caps/>
                  <w:noProof/>
                  <w:color w:val="404040" w:themeColor="text1" w:themeTint="BF"/>
                  <w:sz w:val="12"/>
                  <w:szCs w:val="12"/>
                  <w:lang w:val="ro-RO"/>
                </w:rPr>
                <w:t>UNICREDIT BANK</w:t>
              </w:r>
            </w:p>
            <w:p w14:paraId="01350D95" w14:textId="6CEF06AA" w:rsidR="007965D9" w:rsidRPr="00AE3C69" w:rsidRDefault="003A4430" w:rsidP="00AE3C69">
              <w:pPr>
                <w:jc w:val="center"/>
                <w:rPr>
                  <w:caps/>
                  <w:color w:val="404040" w:themeColor="text1" w:themeTint="BF"/>
                  <w:sz w:val="12"/>
                  <w:szCs w:val="12"/>
                </w:rPr>
              </w:pPr>
            </w:p>
          </w:sdtContent>
        </w:sdt>
      </w:tc>
    </w:tr>
  </w:tbl>
  <w:p w14:paraId="785EC08B" w14:textId="77777777" w:rsidR="003F24C1" w:rsidRDefault="003F24C1" w:rsidP="000A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BA14" w14:textId="77777777" w:rsidR="003A4430" w:rsidRDefault="003A4430" w:rsidP="003F24C1">
      <w:pPr>
        <w:spacing w:after="0" w:line="240" w:lineRule="auto"/>
      </w:pPr>
      <w:r>
        <w:separator/>
      </w:r>
    </w:p>
  </w:footnote>
  <w:footnote w:type="continuationSeparator" w:id="0">
    <w:p w14:paraId="3022CAF7" w14:textId="77777777" w:rsidR="003A4430" w:rsidRDefault="003A4430" w:rsidP="003F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F348" w14:textId="77777777" w:rsidR="00554FA5" w:rsidRDefault="00554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4"/>
    </w:tblGrid>
    <w:tr w:rsidR="008832B8" w14:paraId="3C60F208" w14:textId="77777777" w:rsidTr="00075A87">
      <w:trPr>
        <w:trHeight w:val="422"/>
        <w:jc w:val="center"/>
      </w:trPr>
      <w:tc>
        <w:tcPr>
          <w:tcW w:w="9994" w:type="dxa"/>
          <w:tcBorders>
            <w:bottom w:val="single" w:sz="4" w:space="0" w:color="7F7F7F" w:themeColor="text1" w:themeTint="80"/>
          </w:tcBorders>
        </w:tcPr>
        <w:p w14:paraId="71FE1B0F" w14:textId="3EE906D8" w:rsidR="008832B8" w:rsidRDefault="00CF16C2" w:rsidP="00AE3C69">
          <w:pPr>
            <w:pStyle w:val="Header"/>
          </w:pPr>
          <w:r w:rsidRPr="00FF5E8A">
            <w:rPr>
              <w:b/>
              <w:noProof/>
            </w:rPr>
            <w:drawing>
              <wp:inline distT="0" distB="0" distL="0" distR="0" wp14:anchorId="2259E14C" wp14:editId="6A6A7942">
                <wp:extent cx="763200" cy="316919"/>
                <wp:effectExtent l="0" t="0" r="0" b="6985"/>
                <wp:docPr id="17" name="Picture 17" descr="C:\Users\adriana.stanescu\Desktop\SIF1\sif imob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riana.stanescu\Desktop\SIF1\sif imo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752" cy="33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5A87">
            <w:t xml:space="preserve">                            </w:t>
          </w:r>
          <w:sdt>
            <w:sdtPr>
              <w:rPr>
                <w:b/>
                <w:caps/>
                <w:color w:val="404040" w:themeColor="text1" w:themeTint="BF"/>
                <w:sz w:val="13"/>
                <w:szCs w:val="13"/>
              </w:rPr>
              <w:id w:val="-599256545"/>
            </w:sdtPr>
            <w:sdtEndPr>
              <w:rPr>
                <w:b w:val="0"/>
              </w:rPr>
            </w:sdtEndPr>
            <w:sdtContent>
              <w:r w:rsidR="00075A87">
                <w:rPr>
                  <w:b/>
                  <w:caps/>
                  <w:color w:val="404040" w:themeColor="text1" w:themeTint="BF"/>
                  <w:sz w:val="15"/>
                  <w:szCs w:val="13"/>
                </w:rPr>
                <w:t xml:space="preserve">SIFI CJ LOGISTIC </w:t>
              </w:r>
              <w:r w:rsidR="00075A87" w:rsidRPr="00CF16C2">
                <w:rPr>
                  <w:b/>
                  <w:caps/>
                  <w:color w:val="404040" w:themeColor="text1" w:themeTint="BF"/>
                  <w:sz w:val="15"/>
                  <w:szCs w:val="13"/>
                </w:rPr>
                <w:t>S.A.</w:t>
              </w:r>
            </w:sdtContent>
          </w:sdt>
        </w:p>
      </w:tc>
    </w:tr>
    <w:tr w:rsidR="008832B8" w14:paraId="0A6436A3" w14:textId="77777777" w:rsidTr="00075A87">
      <w:trPr>
        <w:trHeight w:val="166"/>
        <w:jc w:val="center"/>
      </w:trPr>
      <w:tc>
        <w:tcPr>
          <w:tcW w:w="9994" w:type="dxa"/>
          <w:tcBorders>
            <w:top w:val="single" w:sz="4" w:space="0" w:color="7F7F7F" w:themeColor="text1" w:themeTint="80"/>
          </w:tcBorders>
        </w:tcPr>
        <w:p w14:paraId="6E31DFD1" w14:textId="2419CA13" w:rsidR="008832B8" w:rsidRPr="00AE3C69" w:rsidRDefault="008832B8" w:rsidP="00A14989">
          <w:pPr>
            <w:spacing w:before="40"/>
            <w:jc w:val="center"/>
            <w:rPr>
              <w:b/>
              <w:caps/>
              <w:color w:val="404040" w:themeColor="text1" w:themeTint="BF"/>
              <w:sz w:val="15"/>
              <w:szCs w:val="13"/>
            </w:rPr>
          </w:pPr>
        </w:p>
      </w:tc>
    </w:tr>
  </w:tbl>
  <w:p w14:paraId="4190B94C" w14:textId="77777777" w:rsidR="003F24C1" w:rsidRPr="008832B8" w:rsidRDefault="003F24C1" w:rsidP="008832B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8"/>
    </w:tblGrid>
    <w:tr w:rsidR="0003717D" w14:paraId="2C8E06F3" w14:textId="77777777" w:rsidTr="009F6378">
      <w:trPr>
        <w:trHeight w:val="1126"/>
        <w:jc w:val="center"/>
      </w:trPr>
      <w:tc>
        <w:tcPr>
          <w:tcW w:w="10468" w:type="dxa"/>
          <w:tcBorders>
            <w:bottom w:val="single" w:sz="4" w:space="0" w:color="7F7F7F" w:themeColor="text1" w:themeTint="80"/>
          </w:tcBorders>
        </w:tcPr>
        <w:p w14:paraId="2B60684C" w14:textId="77777777" w:rsidR="0003717D" w:rsidRDefault="00CF16C2" w:rsidP="00075A87">
          <w:pPr>
            <w:pStyle w:val="Header"/>
            <w:jc w:val="center"/>
          </w:pPr>
          <w:r w:rsidRPr="00FF5E8A">
            <w:rPr>
              <w:b/>
              <w:noProof/>
            </w:rPr>
            <w:drawing>
              <wp:inline distT="0" distB="0" distL="0" distR="0" wp14:anchorId="6D80DA95" wp14:editId="2789CDA9">
                <wp:extent cx="1533600" cy="640569"/>
                <wp:effectExtent l="0" t="0" r="0" b="7620"/>
                <wp:docPr id="18" name="Picture 18" descr="C:\Users\adriana.stanescu\Desktop\SIF1\sif imob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riana.stanescu\Desktop\SIF1\sif imo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625" cy="66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717D" w14:paraId="18AA00FC" w14:textId="77777777" w:rsidTr="009F6378">
      <w:trPr>
        <w:trHeight w:val="220"/>
        <w:jc w:val="center"/>
      </w:trPr>
      <w:sdt>
        <w:sdtPr>
          <w:rPr>
            <w:b/>
            <w:caps/>
            <w:color w:val="404040" w:themeColor="text1" w:themeTint="BF"/>
            <w:sz w:val="13"/>
            <w:szCs w:val="13"/>
          </w:rPr>
          <w:id w:val="-204400882"/>
        </w:sdtPr>
        <w:sdtEndPr>
          <w:rPr>
            <w:b w:val="0"/>
          </w:rPr>
        </w:sdtEndPr>
        <w:sdtContent>
          <w:tc>
            <w:tcPr>
              <w:tcW w:w="10468" w:type="dxa"/>
              <w:tcBorders>
                <w:top w:val="single" w:sz="4" w:space="0" w:color="7F7F7F" w:themeColor="text1" w:themeTint="80"/>
              </w:tcBorders>
            </w:tcPr>
            <w:p w14:paraId="2FF45978" w14:textId="58A58C5A" w:rsidR="00CF16C2" w:rsidRPr="00D96A6E" w:rsidRDefault="00121B1C" w:rsidP="00075A87">
              <w:pPr>
                <w:spacing w:before="40"/>
                <w:jc w:val="center"/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20"/>
                  <w:szCs w:val="20"/>
                </w:rPr>
              </w:pPr>
              <w:r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20"/>
                  <w:szCs w:val="20"/>
                </w:rPr>
                <w:t>SIFI CJ LOGISTIC</w:t>
              </w:r>
              <w:r w:rsidR="00CF16C2"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20"/>
                  <w:szCs w:val="20"/>
                </w:rPr>
                <w:t xml:space="preserve"> S.A.</w:t>
              </w:r>
            </w:p>
            <w:p w14:paraId="5DE55F37" w14:textId="77777777" w:rsidR="00A14989" w:rsidRPr="00D96A6E" w:rsidRDefault="007017C8" w:rsidP="00075A87">
              <w:pPr>
                <w:jc w:val="center"/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</w:pPr>
              <w:r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13"/>
                  <w:szCs w:val="13"/>
                </w:rPr>
                <w:t>ADRESA</w:t>
              </w:r>
              <w:r w:rsidR="0003717D"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13"/>
                  <w:szCs w:val="13"/>
                </w:rPr>
                <w:t xml:space="preserve"> </w:t>
              </w:r>
              <w:r w:rsidR="009F6378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>CALEA FLOREASCA 175</w:t>
              </w:r>
              <w:r w:rsidR="0003717D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>,</w:t>
              </w:r>
              <w:r w:rsidR="00582762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 ET.7, CAM.</w:t>
              </w:r>
              <w:r w:rsidR="00121B1C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 A7</w:t>
              </w:r>
              <w:r w:rsidR="00582762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>,</w:t>
              </w:r>
              <w:r w:rsidR="0003717D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 </w:t>
              </w:r>
              <w:r w:rsidR="001141DE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>BUCURESTI</w:t>
              </w:r>
              <w:r w:rsidR="00CF16C2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 1</w:t>
              </w:r>
            </w:p>
            <w:p w14:paraId="5FAD5BDC" w14:textId="429BFD21" w:rsidR="0003717D" w:rsidRPr="00790847" w:rsidRDefault="00A14989" w:rsidP="00075A87">
              <w:pPr>
                <w:jc w:val="center"/>
                <w:rPr>
                  <w:color w:val="404040" w:themeColor="text1" w:themeTint="BF"/>
                </w:rPr>
              </w:pPr>
              <w:r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13"/>
                  <w:szCs w:val="13"/>
                </w:rPr>
                <w:t>pu</w:t>
              </w:r>
              <w:r w:rsidR="005649AD"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13"/>
                  <w:szCs w:val="13"/>
                </w:rPr>
                <w:t>NCT DE LUCRU: CLUJ, CLUJ-NAPOCA</w:t>
              </w:r>
              <w:r w:rsidR="005649AD"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, TRAIAN VUIA, 206 </w:t>
              </w:r>
              <w:r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•   </w:t>
              </w:r>
              <w:r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13"/>
                  <w:szCs w:val="13"/>
                </w:rPr>
                <w:t>TELEFON</w:t>
              </w:r>
              <w:r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  0264-416 663  •   </w:t>
              </w:r>
              <w:r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13"/>
                  <w:szCs w:val="13"/>
                </w:rPr>
                <w:t>Fax</w:t>
              </w:r>
              <w:r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  0264-416 657   •   </w:t>
              </w:r>
              <w:r w:rsidRPr="00D96A6E">
                <w:rPr>
                  <w:rFonts w:ascii="Times New Roman" w:hAnsi="Times New Roman" w:cs="Times New Roman"/>
                  <w:b/>
                  <w:caps/>
                  <w:color w:val="404040" w:themeColor="text1" w:themeTint="BF"/>
                  <w:sz w:val="13"/>
                  <w:szCs w:val="13"/>
                </w:rPr>
                <w:t>EMAIL</w:t>
              </w:r>
              <w:r w:rsidRPr="00D96A6E">
                <w:rPr>
                  <w:rFonts w:ascii="Times New Roman" w:hAnsi="Times New Roman" w:cs="Times New Roman"/>
                  <w:caps/>
                  <w:color w:val="404040" w:themeColor="text1" w:themeTint="BF"/>
                  <w:sz w:val="13"/>
                  <w:szCs w:val="13"/>
                </w:rPr>
                <w:t xml:space="preserve"> </w:t>
              </w:r>
              <w:hyperlink r:id="rId2" w:history="1">
                <w:r w:rsidRPr="00D96A6E">
                  <w:rPr>
                    <w:rStyle w:val="Hyperlink"/>
                    <w:rFonts w:ascii="Times New Roman" w:hAnsi="Times New Roman" w:cs="Times New Roman"/>
                    <w:sz w:val="16"/>
                    <w:szCs w:val="16"/>
                  </w:rPr>
                  <w:t>comat@comatcluj.ro</w:t>
                </w:r>
              </w:hyperlink>
            </w:p>
          </w:tc>
        </w:sdtContent>
      </w:sdt>
    </w:tr>
  </w:tbl>
  <w:p w14:paraId="4CF472E7" w14:textId="77777777" w:rsidR="003F24C1" w:rsidRPr="0003717D" w:rsidRDefault="003F24C1" w:rsidP="00A14989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C1"/>
    <w:rsid w:val="0003717D"/>
    <w:rsid w:val="0004027F"/>
    <w:rsid w:val="000747E7"/>
    <w:rsid w:val="00075A87"/>
    <w:rsid w:val="00083FEE"/>
    <w:rsid w:val="000A2CBF"/>
    <w:rsid w:val="000A4B0D"/>
    <w:rsid w:val="000B373E"/>
    <w:rsid w:val="000B7C54"/>
    <w:rsid w:val="000C09DD"/>
    <w:rsid w:val="001141DE"/>
    <w:rsid w:val="00121B1C"/>
    <w:rsid w:val="0014166D"/>
    <w:rsid w:val="00145322"/>
    <w:rsid w:val="00151525"/>
    <w:rsid w:val="00157458"/>
    <w:rsid w:val="00157D0D"/>
    <w:rsid w:val="00183DBB"/>
    <w:rsid w:val="0019199C"/>
    <w:rsid w:val="00194533"/>
    <w:rsid w:val="001A17EC"/>
    <w:rsid w:val="001C5BCB"/>
    <w:rsid w:val="001F23A7"/>
    <w:rsid w:val="00200A42"/>
    <w:rsid w:val="0022327E"/>
    <w:rsid w:val="00236A11"/>
    <w:rsid w:val="002D7927"/>
    <w:rsid w:val="002F4DA8"/>
    <w:rsid w:val="00310976"/>
    <w:rsid w:val="00372AEB"/>
    <w:rsid w:val="00393E33"/>
    <w:rsid w:val="003A4430"/>
    <w:rsid w:val="003B738F"/>
    <w:rsid w:val="003B7A45"/>
    <w:rsid w:val="003D7BD6"/>
    <w:rsid w:val="003F14B2"/>
    <w:rsid w:val="003F24C1"/>
    <w:rsid w:val="00431FC7"/>
    <w:rsid w:val="004377E2"/>
    <w:rsid w:val="00461A08"/>
    <w:rsid w:val="00467A49"/>
    <w:rsid w:val="004735FD"/>
    <w:rsid w:val="00476AB9"/>
    <w:rsid w:val="00487B06"/>
    <w:rsid w:val="00494438"/>
    <w:rsid w:val="004A1E29"/>
    <w:rsid w:val="004A32FE"/>
    <w:rsid w:val="004A7803"/>
    <w:rsid w:val="004D17E7"/>
    <w:rsid w:val="004D4F6F"/>
    <w:rsid w:val="004E3B62"/>
    <w:rsid w:val="00512E2E"/>
    <w:rsid w:val="00514257"/>
    <w:rsid w:val="00524E6B"/>
    <w:rsid w:val="005268E9"/>
    <w:rsid w:val="00534FC8"/>
    <w:rsid w:val="005462BA"/>
    <w:rsid w:val="00554FA5"/>
    <w:rsid w:val="005575DA"/>
    <w:rsid w:val="005649AD"/>
    <w:rsid w:val="00582762"/>
    <w:rsid w:val="00582E85"/>
    <w:rsid w:val="00587A29"/>
    <w:rsid w:val="005923F9"/>
    <w:rsid w:val="0059440D"/>
    <w:rsid w:val="005A72A9"/>
    <w:rsid w:val="005C3CDF"/>
    <w:rsid w:val="005F7B58"/>
    <w:rsid w:val="006142BA"/>
    <w:rsid w:val="006274A6"/>
    <w:rsid w:val="006321B0"/>
    <w:rsid w:val="006369E5"/>
    <w:rsid w:val="00637CF2"/>
    <w:rsid w:val="0067765A"/>
    <w:rsid w:val="00687873"/>
    <w:rsid w:val="006B2A48"/>
    <w:rsid w:val="006E54F1"/>
    <w:rsid w:val="007014FE"/>
    <w:rsid w:val="007017C8"/>
    <w:rsid w:val="00711254"/>
    <w:rsid w:val="007334AD"/>
    <w:rsid w:val="0074098B"/>
    <w:rsid w:val="00784DF7"/>
    <w:rsid w:val="00790847"/>
    <w:rsid w:val="007965D9"/>
    <w:rsid w:val="007A334A"/>
    <w:rsid w:val="007B39A0"/>
    <w:rsid w:val="007B7BBE"/>
    <w:rsid w:val="007C2CBA"/>
    <w:rsid w:val="007C49C6"/>
    <w:rsid w:val="00805E0D"/>
    <w:rsid w:val="00830998"/>
    <w:rsid w:val="00841D3C"/>
    <w:rsid w:val="00861401"/>
    <w:rsid w:val="00862531"/>
    <w:rsid w:val="008832B8"/>
    <w:rsid w:val="008841C1"/>
    <w:rsid w:val="008E5605"/>
    <w:rsid w:val="008E5ED3"/>
    <w:rsid w:val="008E69C8"/>
    <w:rsid w:val="008F03F9"/>
    <w:rsid w:val="00902689"/>
    <w:rsid w:val="009052C3"/>
    <w:rsid w:val="00911041"/>
    <w:rsid w:val="00911B6E"/>
    <w:rsid w:val="00920F9E"/>
    <w:rsid w:val="00922622"/>
    <w:rsid w:val="009416CA"/>
    <w:rsid w:val="00950286"/>
    <w:rsid w:val="00986B59"/>
    <w:rsid w:val="009921E2"/>
    <w:rsid w:val="009A66F3"/>
    <w:rsid w:val="009B77C7"/>
    <w:rsid w:val="009C0818"/>
    <w:rsid w:val="009F2649"/>
    <w:rsid w:val="009F6378"/>
    <w:rsid w:val="00A14989"/>
    <w:rsid w:val="00A616D1"/>
    <w:rsid w:val="00A6502E"/>
    <w:rsid w:val="00A86600"/>
    <w:rsid w:val="00AA55B9"/>
    <w:rsid w:val="00AB4006"/>
    <w:rsid w:val="00AD3298"/>
    <w:rsid w:val="00AD6F9C"/>
    <w:rsid w:val="00AE1C51"/>
    <w:rsid w:val="00AE3C69"/>
    <w:rsid w:val="00AF1595"/>
    <w:rsid w:val="00AF7376"/>
    <w:rsid w:val="00B6749C"/>
    <w:rsid w:val="00B8075C"/>
    <w:rsid w:val="00BA3B74"/>
    <w:rsid w:val="00C321F3"/>
    <w:rsid w:val="00C3365A"/>
    <w:rsid w:val="00C44458"/>
    <w:rsid w:val="00C54077"/>
    <w:rsid w:val="00C833CC"/>
    <w:rsid w:val="00CA21A7"/>
    <w:rsid w:val="00CC41BD"/>
    <w:rsid w:val="00CC421F"/>
    <w:rsid w:val="00CF16C2"/>
    <w:rsid w:val="00D02758"/>
    <w:rsid w:val="00D15AC5"/>
    <w:rsid w:val="00D52407"/>
    <w:rsid w:val="00D52E42"/>
    <w:rsid w:val="00D62E27"/>
    <w:rsid w:val="00D771A9"/>
    <w:rsid w:val="00D96A6E"/>
    <w:rsid w:val="00DA273D"/>
    <w:rsid w:val="00DC2DF0"/>
    <w:rsid w:val="00DC59D4"/>
    <w:rsid w:val="00DD675D"/>
    <w:rsid w:val="00DE6608"/>
    <w:rsid w:val="00DF4F94"/>
    <w:rsid w:val="00DF7F87"/>
    <w:rsid w:val="00E119D3"/>
    <w:rsid w:val="00E33CD3"/>
    <w:rsid w:val="00E41313"/>
    <w:rsid w:val="00E606F6"/>
    <w:rsid w:val="00EB12B9"/>
    <w:rsid w:val="00EE078C"/>
    <w:rsid w:val="00F0449D"/>
    <w:rsid w:val="00F13644"/>
    <w:rsid w:val="00F252BE"/>
    <w:rsid w:val="00F256AE"/>
    <w:rsid w:val="00F427CB"/>
    <w:rsid w:val="00F64FB3"/>
    <w:rsid w:val="00F831C0"/>
    <w:rsid w:val="00F85702"/>
    <w:rsid w:val="00FC1798"/>
    <w:rsid w:val="00FC2DBF"/>
    <w:rsid w:val="00FE4735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DDC00"/>
  <w15:docId w15:val="{AD5548B5-C06A-43AA-9E4E-B9E91A1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Heading1"/>
    <w:qFormat/>
    <w:rsid w:val="00431FC7"/>
    <w:rPr>
      <w:rFonts w:ascii="Open Sans" w:hAnsi="Open Sans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24C1"/>
  </w:style>
  <w:style w:type="paragraph" w:styleId="Footer">
    <w:name w:val="footer"/>
    <w:basedOn w:val="Normal"/>
    <w:link w:val="FooterChar"/>
    <w:uiPriority w:val="99"/>
    <w:unhideWhenUsed/>
    <w:rsid w:val="003F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C1"/>
  </w:style>
  <w:style w:type="paragraph" w:styleId="BalloonText">
    <w:name w:val="Balloon Text"/>
    <w:basedOn w:val="Normal"/>
    <w:link w:val="BalloonTextChar"/>
    <w:uiPriority w:val="99"/>
    <w:semiHidden/>
    <w:unhideWhenUsed/>
    <w:rsid w:val="003F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3CD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1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3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84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8841C1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14166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ro-RO"/>
    </w:rPr>
  </w:style>
  <w:style w:type="character" w:customStyle="1" w:styleId="st">
    <w:name w:val="st"/>
    <w:basedOn w:val="DefaultParagraphFont"/>
    <w:rsid w:val="00CF16C2"/>
  </w:style>
  <w:style w:type="character" w:styleId="Emphasis">
    <w:name w:val="Emphasis"/>
    <w:basedOn w:val="DefaultParagraphFont"/>
    <w:uiPriority w:val="20"/>
    <w:qFormat/>
    <w:rsid w:val="00CF16C2"/>
    <w:rPr>
      <w:i/>
      <w:iCs/>
    </w:rPr>
  </w:style>
  <w:style w:type="paragraph" w:styleId="NoSpacing">
    <w:name w:val="No Spacing"/>
    <w:uiPriority w:val="1"/>
    <w:qFormat/>
    <w:rsid w:val="00CF16C2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8E69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69C8"/>
    <w:rPr>
      <w:rFonts w:ascii="Open Sans" w:hAnsi="Open Sans"/>
      <w:sz w:val="32"/>
    </w:rPr>
  </w:style>
  <w:style w:type="paragraph" w:styleId="ListParagraph">
    <w:name w:val="List Paragraph"/>
    <w:basedOn w:val="Normal"/>
    <w:uiPriority w:val="34"/>
    <w:qFormat/>
    <w:rsid w:val="00564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b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mat@comatcluj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Claudiu HOREANU</dc:creator>
  <cp:lastModifiedBy>miclea</cp:lastModifiedBy>
  <cp:revision>3</cp:revision>
  <cp:lastPrinted>2015-11-17T08:07:00Z</cp:lastPrinted>
  <dcterms:created xsi:type="dcterms:W3CDTF">2017-03-29T11:52:00Z</dcterms:created>
  <dcterms:modified xsi:type="dcterms:W3CDTF">2017-04-20T10:44:00Z</dcterms:modified>
</cp:coreProperties>
</file>